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49F2" w:rsidRDefault="00EF49F2" w:rsidP="00EF49F2">
      <w:pPr>
        <w:jc w:val="center"/>
        <w:rPr>
          <w:rFonts w:eastAsia="Times New Roman"/>
        </w:rPr>
      </w:pPr>
      <w:r>
        <w:rPr>
          <w:rFonts w:eastAsia="Times New Roman"/>
        </w:rPr>
        <w:t>Лекция 14. Случайные процессы и их основные характеристики. Общие сведения о каналах связи. Преобразование сигналов в линейных каналах связи</w:t>
      </w:r>
    </w:p>
    <w:p w:rsidR="00EF49F2" w:rsidRDefault="00EF49F2" w:rsidP="00EF49F2">
      <w:pPr>
        <w:jc w:val="center"/>
      </w:pPr>
    </w:p>
    <w:p w:rsidR="00EF49F2" w:rsidRDefault="00EF49F2" w:rsidP="00EF49F2">
      <w:pPr>
        <w:jc w:val="center"/>
      </w:pPr>
      <w:r>
        <w:t>Содержание лекции:</w:t>
      </w:r>
    </w:p>
    <w:p w:rsidR="00EF49F2" w:rsidRDefault="00EF49F2" w:rsidP="00EF49F2">
      <w:pPr>
        <w:jc w:val="center"/>
      </w:pPr>
      <w:r>
        <w:t>- случайные стационарные процессы. Спектральная плотность мощности случайного процесса. Функция корреляции случайного процесса с ограниченным спектром. Общие сведения о каналах связи.</w:t>
      </w:r>
      <w:r>
        <w:rPr>
          <w:rFonts w:ascii="Arial" w:hAnsi="Arial" w:cs="Arial"/>
        </w:rPr>
        <w:t xml:space="preserve"> </w:t>
      </w:r>
      <w:r>
        <w:t>Воздействие детерминированных сигналов на линейные стационарные системы. Системные операторы. Стационарные и нестационарные системы. Линейные и нелинейные системы. Импульсные характеристики линейных стационарных систем. Интеграл Дюамеля.</w:t>
      </w:r>
    </w:p>
    <w:p w:rsidR="00EF49F2" w:rsidRDefault="00EF49F2" w:rsidP="00EF49F2">
      <w:pPr>
        <w:jc w:val="center"/>
      </w:pPr>
    </w:p>
    <w:p w:rsidR="00EF49F2" w:rsidRDefault="00EF49F2" w:rsidP="00EF49F2">
      <w:pPr>
        <w:jc w:val="center"/>
      </w:pPr>
      <w:r>
        <w:t>Цель лекции:</w:t>
      </w:r>
    </w:p>
    <w:p w:rsidR="00EF49F2" w:rsidRDefault="00EF49F2" w:rsidP="00EF49F2">
      <w:pPr>
        <w:jc w:val="center"/>
      </w:pPr>
      <w:r>
        <w:t xml:space="preserve">- описать сигналы, которые отображают развивающиеся во времени случайные явления, изучив </w:t>
      </w:r>
      <w:r>
        <w:rPr>
          <w:i/>
          <w:iCs/>
        </w:rPr>
        <w:t>теорию случайных процессов.</w:t>
      </w:r>
      <w:r>
        <w:t xml:space="preserve"> Показать, что между" корреляционными и спектральными свойствами случайных сигналов существует глубокая и тесная связь. Провести классификацию каналов связи.</w:t>
      </w:r>
    </w:p>
    <w:p w:rsidR="00EF49F2" w:rsidRDefault="00EF49F2" w:rsidP="00EF49F2">
      <w:pPr>
        <w:jc w:val="center"/>
      </w:pPr>
    </w:p>
    <w:p w:rsidR="00EF49F2" w:rsidRDefault="00EF49F2" w:rsidP="00EF49F2">
      <w:pPr>
        <w:jc w:val="center"/>
      </w:pPr>
      <w:r>
        <w:rPr>
          <w:i/>
          <w:iCs/>
        </w:rPr>
        <w:t>Случайными стационарными процессами</w:t>
      </w:r>
      <w:r>
        <w:t xml:space="preserve"> принято называть случайные процессы, статистические характеристики которых одинаковы во всех сечениях.</w:t>
      </w:r>
    </w:p>
    <w:p w:rsidR="00EF49F2" w:rsidRDefault="00EF49F2" w:rsidP="00EF49F2">
      <w:pPr>
        <w:jc w:val="center"/>
      </w:pPr>
      <w:r>
        <w:t xml:space="preserve">Если ограничить требования тем, чтобы математическое ожидание </w:t>
      </w:r>
      <w:r>
        <w:rPr>
          <w:i/>
          <w:iCs/>
        </w:rPr>
        <w:t>т</w:t>
      </w:r>
      <w:r>
        <w:t xml:space="preserve"> и дисперсия σ</w:t>
      </w:r>
      <w:r>
        <w:rPr>
          <w:vertAlign w:val="superscript"/>
        </w:rPr>
        <w:t>2</w:t>
      </w:r>
      <w:r>
        <w:t xml:space="preserve"> процесса не зависели от времени, а функция корреляции зависела лишь от разности </w:t>
      </w:r>
      <w:r>
        <w:rPr>
          <w:noProof/>
          <w:vertAlign w:val="subscript"/>
        </w:rPr>
        <w:drawing>
          <wp:inline distT="0" distB="0" distL="0" distR="0" wp14:anchorId="24402A25" wp14:editId="4C9D96CC">
            <wp:extent cx="685800" cy="257175"/>
            <wp:effectExtent l="0" t="0" r="0" b="9525"/>
            <wp:docPr id="1" name="Picture 1" descr="C:\Users\Василий\Desktop\Нов лек ТЭС\Лекции ТЭС последние\ГЛАВА 2_files\image27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1" descr="C:\Users\Василий\Desktop\Нов лек ТЭС\Лекции ТЭС последние\ГЛАВА 2_files\image277.gif"/>
                    <pic:cNvPicPr>
                      <a:picLocks noChangeAspect="1" noChangeArrowheads="1"/>
                    </pic:cNvPicPr>
                  </pic:nvPicPr>
                  <pic:blipFill>
                    <a:blip r:link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, т.е. </w:t>
      </w:r>
      <w:r>
        <w:rPr>
          <w:noProof/>
          <w:vertAlign w:val="subscript"/>
        </w:rPr>
        <w:drawing>
          <wp:inline distT="0" distB="0" distL="0" distR="0" wp14:anchorId="54AEE347" wp14:editId="54520C75">
            <wp:extent cx="952500" cy="219075"/>
            <wp:effectExtent l="0" t="0" r="0" b="9525"/>
            <wp:docPr id="2" name="Picture 2" descr="C:\Users\Василий\Desktop\Нов лек ТЭС\Лекции ТЭС последние\ГЛАВА 2_files\image27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0" descr="C:\Users\Василий\Desktop\Нов лек ТЭС\Лекции ТЭС последние\ГЛАВА 2_files\image278.gif"/>
                    <pic:cNvPicPr>
                      <a:picLocks noChangeAspect="1" noChangeArrowheads="1"/>
                    </pic:cNvPicPr>
                  </pic:nvPicPr>
                  <pic:blipFill>
                    <a:blip r:link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, то подобный случайный процесс будет </w:t>
      </w:r>
      <w:r>
        <w:rPr>
          <w:i/>
          <w:iCs/>
        </w:rPr>
        <w:t>стационарен в широком смысле.</w:t>
      </w:r>
      <w:r>
        <w:t xml:space="preserve"> Как следует из определения, функция корреляции случайного стационарного процесса является четной. </w:t>
      </w:r>
      <w:r>
        <w:rPr>
          <w:i/>
          <w:noProof/>
          <w:vertAlign w:val="subscript"/>
        </w:rPr>
        <w:drawing>
          <wp:inline distT="0" distB="0" distL="0" distR="0" wp14:anchorId="6AB4D365" wp14:editId="361EC34D">
            <wp:extent cx="866775" cy="200025"/>
            <wp:effectExtent l="0" t="0" r="9525" b="9525"/>
            <wp:docPr id="3" name="Picture 3" descr="C:\Users\Василий\Desktop\Нов лек ТЭС\Лекции ТЭС последние\ГЛАВА 2_files\image27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9" descr="C:\Users\Василий\Desktop\Нов лек ТЭС\Лекции ТЭС последние\ГЛАВА 2_files\image279.gif"/>
                    <pic:cNvPicPr>
                      <a:picLocks noChangeAspect="1" noChangeArrowheads="1"/>
                    </pic:cNvPicPr>
                  </pic:nvPicPr>
                  <pic:blipFill>
                    <a:blip r:link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77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i/>
          <w:iCs/>
        </w:rPr>
        <w:t>.</w:t>
      </w:r>
    </w:p>
    <w:p w:rsidR="00EF49F2" w:rsidRDefault="00EF49F2" w:rsidP="00EF49F2">
      <w:pPr>
        <w:jc w:val="center"/>
      </w:pPr>
      <w:r>
        <w:t xml:space="preserve">Кроме того, абсолютные значения этой функции при любых </w:t>
      </w:r>
      <w:r>
        <w:rPr>
          <w:lang w:val="en-US"/>
        </w:rPr>
        <w:t>τ</w:t>
      </w:r>
      <w:r>
        <w:t xml:space="preserve"> не превышают ее значения при τ=0</w:t>
      </w:r>
    </w:p>
    <w:p w:rsidR="00EF49F2" w:rsidRDefault="00EF49F2" w:rsidP="00EF49F2">
      <w:pPr>
        <w:jc w:val="center"/>
      </w:pPr>
      <w:r>
        <w:rPr>
          <w:noProof/>
          <w:vertAlign w:val="subscript"/>
        </w:rPr>
        <w:drawing>
          <wp:inline distT="0" distB="0" distL="0" distR="0" wp14:anchorId="5537333E" wp14:editId="41B5BC4C">
            <wp:extent cx="1143000" cy="257175"/>
            <wp:effectExtent l="0" t="0" r="0" b="9525"/>
            <wp:docPr id="4" name="Picture 4" descr="C:\Users\Василий\Desktop\Нов лек ТЭС\Лекции ТЭС последние\ГЛАВА 2_files\image28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8" descr="C:\Users\Василий\Desktop\Нов лек ТЭС\Лекции ТЭС последние\ГЛАВА 2_files\image280.gif"/>
                    <pic:cNvPicPr>
                      <a:picLocks noChangeAspect="1" noChangeArrowheads="1"/>
                    </pic:cNvPicPr>
                  </pic:nvPicPr>
                  <pic:blipFill>
                    <a:blip r:link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.                      (14.1)</w:t>
      </w:r>
    </w:p>
    <w:p w:rsidR="00EF49F2" w:rsidRDefault="00EF49F2" w:rsidP="00EF49F2">
      <w:pPr>
        <w:jc w:val="center"/>
      </w:pPr>
      <w:r>
        <w:t>Для описания слу</w:t>
      </w:r>
      <w:r>
        <w:softHyphen/>
        <w:t xml:space="preserve">чайных процессов наряду с корреляционными функциями </w:t>
      </w:r>
      <w:r>
        <w:rPr>
          <w:lang w:val="en-US"/>
        </w:rPr>
        <w:t>B</w:t>
      </w:r>
      <w:r>
        <w:t>(</w:t>
      </w:r>
      <w:r>
        <w:rPr>
          <w:lang w:val="en-US"/>
        </w:rPr>
        <w:t>τ</w:t>
      </w:r>
      <w:r>
        <w:t>) широко ис</w:t>
      </w:r>
      <w:r>
        <w:softHyphen/>
        <w:t xml:space="preserve">пользуются спектральные характеристики, в частности, </w:t>
      </w:r>
      <w:r>
        <w:rPr>
          <w:i/>
          <w:iCs/>
        </w:rPr>
        <w:t>спектральная плотность мощности</w:t>
      </w:r>
      <w:r>
        <w:t xml:space="preserve"> </w:t>
      </w:r>
      <w:r>
        <w:rPr>
          <w:lang w:val="en-US"/>
        </w:rPr>
        <w:t>G</w:t>
      </w:r>
      <w:r>
        <w:t>(</w:t>
      </w:r>
      <w:r>
        <w:rPr>
          <w:lang w:val="en-US"/>
        </w:rPr>
        <w:t>f</w:t>
      </w:r>
      <w:r>
        <w:t xml:space="preserve">). Между </w:t>
      </w:r>
      <w:r>
        <w:rPr>
          <w:lang w:val="en-US"/>
        </w:rPr>
        <w:t>B</w:t>
      </w:r>
      <w:r>
        <w:t>(</w:t>
      </w:r>
      <w:r>
        <w:rPr>
          <w:lang w:val="en-US"/>
        </w:rPr>
        <w:t>τ</w:t>
      </w:r>
      <w:r>
        <w:t xml:space="preserve">) и </w:t>
      </w:r>
      <w:r>
        <w:rPr>
          <w:lang w:val="en-US"/>
        </w:rPr>
        <w:t>G</w:t>
      </w:r>
      <w:r>
        <w:t>(</w:t>
      </w:r>
      <w:r>
        <w:rPr>
          <w:lang w:val="en-US"/>
        </w:rPr>
        <w:t>f</w:t>
      </w:r>
      <w:r>
        <w:t>) существует пара преобразований Фурье. Для случайных стационарных процессов эти соот</w:t>
      </w:r>
      <w:r>
        <w:softHyphen/>
        <w:t>ношения строго установлены А.Я. Хинчиным и Н. Винером.</w:t>
      </w:r>
    </w:p>
    <w:p w:rsidR="00EF49F2" w:rsidRDefault="00EF49F2" w:rsidP="00EF49F2">
      <w:pPr>
        <w:jc w:val="center"/>
      </w:pPr>
      <w:r>
        <w:t xml:space="preserve">Дисперсию (среднюю мощность) СП можно найти путём интегрирования </w:t>
      </w:r>
      <w:r>
        <w:rPr>
          <w:i/>
          <w:iCs/>
          <w:lang w:val="en-US"/>
        </w:rPr>
        <w:t>C</w:t>
      </w:r>
      <w:r>
        <w:rPr>
          <w:i/>
          <w:iCs/>
        </w:rPr>
        <w:t>(</w:t>
      </w:r>
      <w:r>
        <w:rPr>
          <w:i/>
          <w:iCs/>
          <w:lang w:val="en-US"/>
        </w:rPr>
        <w:t>f</w:t>
      </w:r>
      <w:r>
        <w:rPr>
          <w:i/>
          <w:iCs/>
        </w:rPr>
        <w:t>)</w:t>
      </w:r>
      <w:r>
        <w:t xml:space="preserve"> по частоте </w:t>
      </w:r>
      <w:r>
        <w:rPr>
          <w:noProof/>
          <w:vertAlign w:val="subscript"/>
        </w:rPr>
        <w:drawing>
          <wp:inline distT="0" distB="0" distL="0" distR="0" wp14:anchorId="7405833A" wp14:editId="12883D30">
            <wp:extent cx="2571750" cy="561975"/>
            <wp:effectExtent l="0" t="0" r="0" b="9525"/>
            <wp:docPr id="5" name="Picture 5" descr="C:\Users\Василий\Desktop\Нов лек ТЭС\Лекции ТЭС последние\ГЛАВА 2_files\image28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7" descr="C:\Users\Василий\Desktop\Нов лек ТЭС\Лекции ТЭС последние\ГЛАВА 2_files\image281.gif"/>
                    <pic:cNvPicPr>
                      <a:picLocks noChangeAspect="1" noChangeArrowheads="1"/>
                    </pic:cNvPicPr>
                  </pic:nvPicPr>
                  <pic:blipFill>
                    <a:blip r:link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0" cy="561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,</w:t>
      </w:r>
    </w:p>
    <w:p w:rsidR="00EF49F2" w:rsidRDefault="00EF49F2" w:rsidP="00EF49F2">
      <w:pPr>
        <w:jc w:val="center"/>
      </w:pPr>
      <w:r>
        <w:t xml:space="preserve">где </w:t>
      </w:r>
      <w:r>
        <w:rPr>
          <w:lang w:val="en-US"/>
        </w:rPr>
        <w:t>G</w:t>
      </w:r>
      <w:r>
        <w:rPr>
          <w:vertAlign w:val="subscript"/>
        </w:rPr>
        <w:t>0</w:t>
      </w:r>
      <w:r>
        <w:t>(</w:t>
      </w:r>
      <w:r>
        <w:rPr>
          <w:lang w:val="en-US"/>
        </w:rPr>
        <w:t>f</w:t>
      </w:r>
      <w:r>
        <w:t>) - СПМ, определённая на положительных частотах. Методом равно</w:t>
      </w:r>
      <w:r>
        <w:softHyphen/>
        <w:t xml:space="preserve">великого прямоугольника (или по иному критерию) можно найти не только интервал корреляции СП ("ширину" </w:t>
      </w:r>
      <w:r>
        <w:rPr>
          <w:lang w:val="en-US"/>
        </w:rPr>
        <w:t>B</w:t>
      </w:r>
      <w:r>
        <w:t>(</w:t>
      </w:r>
      <w:r>
        <w:rPr>
          <w:lang w:val="en-US"/>
        </w:rPr>
        <w:t>τ</w:t>
      </w:r>
      <w:r>
        <w:t xml:space="preserve">)), но и эффективную ширину его спектра </w:t>
      </w:r>
      <w:r>
        <w:rPr>
          <w:i/>
          <w:iCs/>
          <w:lang w:val="en-US"/>
        </w:rPr>
        <w:t>F</w:t>
      </w:r>
      <w:r>
        <w:rPr>
          <w:i/>
          <w:iCs/>
          <w:vertAlign w:val="subscript"/>
        </w:rPr>
        <w:t>э</w:t>
      </w:r>
      <w:r>
        <w:t xml:space="preserve"> ("ширину" </w:t>
      </w:r>
      <w:r>
        <w:rPr>
          <w:lang w:val="en-US"/>
        </w:rPr>
        <w:t>G</w:t>
      </w:r>
      <w:r>
        <w:rPr>
          <w:vertAlign w:val="subscript"/>
        </w:rPr>
        <w:t>0</w:t>
      </w:r>
      <w:r>
        <w:t>(</w:t>
      </w:r>
      <w:r>
        <w:rPr>
          <w:lang w:val="en-US"/>
        </w:rPr>
        <w:t>f</w:t>
      </w:r>
      <w:r>
        <w:t>)). Произведение этих параметров удовлетворяет ус</w:t>
      </w:r>
      <w:r>
        <w:softHyphen/>
        <w:t xml:space="preserve">ловию </w:t>
      </w:r>
      <w:r>
        <w:rPr>
          <w:lang w:val="en-US"/>
        </w:rPr>
        <w:t>τ</w:t>
      </w:r>
      <w:r>
        <w:rPr>
          <w:vertAlign w:val="subscript"/>
        </w:rPr>
        <w:t>кор</w:t>
      </w:r>
      <w:r>
        <w:t xml:space="preserve"> </w:t>
      </w:r>
      <w:r>
        <w:rPr>
          <w:i/>
          <w:iCs/>
        </w:rPr>
        <w:t>F</w:t>
      </w:r>
      <w:r>
        <w:rPr>
          <w:i/>
          <w:iCs/>
          <w:vertAlign w:val="subscript"/>
        </w:rPr>
        <w:t>э</w:t>
      </w:r>
      <w:r>
        <w:rPr>
          <w:i/>
          <w:iCs/>
        </w:rPr>
        <w:t>.~К</w:t>
      </w:r>
      <w:r>
        <w:t xml:space="preserve"> , где </w:t>
      </w:r>
      <w:r>
        <w:rPr>
          <w:i/>
          <w:iCs/>
        </w:rPr>
        <w:t>К —</w:t>
      </w:r>
      <w:r>
        <w:t xml:space="preserve"> константа, имеющая порядок единицы.</w:t>
      </w:r>
    </w:p>
    <w:p w:rsidR="00EF49F2" w:rsidRDefault="00EF49F2" w:rsidP="00EF49F2">
      <w:pPr>
        <w:jc w:val="center"/>
      </w:pPr>
      <w:r>
        <w:t>Слу</w:t>
      </w:r>
      <w:r>
        <w:softHyphen/>
        <w:t xml:space="preserve">чайный процесс, характеризуемый СПМ </w:t>
      </w:r>
      <w:r>
        <w:rPr>
          <w:i/>
          <w:iCs/>
          <w:lang w:val="en-US"/>
        </w:rPr>
        <w:t>G</w:t>
      </w:r>
      <w:r>
        <w:rPr>
          <w:i/>
          <w:iCs/>
          <w:vertAlign w:val="subscript"/>
        </w:rPr>
        <w:t>0</w:t>
      </w:r>
      <w:r>
        <w:rPr>
          <w:i/>
          <w:iCs/>
        </w:rPr>
        <w:t>(</w:t>
      </w:r>
      <w:r>
        <w:rPr>
          <w:i/>
          <w:iCs/>
          <w:lang w:val="en-US"/>
        </w:rPr>
        <w:t>f</w:t>
      </w:r>
      <w:r>
        <w:rPr>
          <w:i/>
          <w:iCs/>
        </w:rPr>
        <w:t>)=</w:t>
      </w:r>
      <w:r>
        <w:rPr>
          <w:i/>
          <w:iCs/>
          <w:lang w:val="en-US"/>
        </w:rPr>
        <w:t>N</w:t>
      </w:r>
      <w:r>
        <w:rPr>
          <w:i/>
          <w:iCs/>
          <w:vertAlign w:val="subscript"/>
        </w:rPr>
        <w:t>0</w:t>
      </w:r>
      <w:r>
        <w:rPr>
          <w:i/>
          <w:iCs/>
        </w:rPr>
        <w:t>,</w:t>
      </w:r>
      <w:r>
        <w:t xml:space="preserve"> равномерной на всех час</w:t>
      </w:r>
      <w:r>
        <w:softHyphen/>
        <w:t>тотах (см. рисунок 14.1 а</w:t>
      </w:r>
      <w:r>
        <w:rPr>
          <w:i/>
          <w:iCs/>
        </w:rPr>
        <w:t>),</w:t>
      </w:r>
      <w:r>
        <w:t xml:space="preserve"> называют белым шумом (по аналогии с белым светом в оп</w:t>
      </w:r>
      <w:r>
        <w:softHyphen/>
        <w:t xml:space="preserve">тике). Если спектр </w:t>
      </w:r>
      <w:r>
        <w:rPr>
          <w:lang w:val="en-US"/>
        </w:rPr>
        <w:t>G</w:t>
      </w:r>
      <w:r>
        <w:rPr>
          <w:vertAlign w:val="subscript"/>
        </w:rPr>
        <w:t>0</w:t>
      </w:r>
      <w:r>
        <w:t>(</w:t>
      </w:r>
      <w:r>
        <w:rPr>
          <w:lang w:val="en-US"/>
        </w:rPr>
        <w:t>f</w:t>
      </w:r>
      <w:r>
        <w:t xml:space="preserve">) ограничен сверху частотой </w:t>
      </w:r>
      <w:r>
        <w:rPr>
          <w:lang w:val="en-US"/>
        </w:rPr>
        <w:t>F</w:t>
      </w:r>
      <w:r>
        <w:rPr>
          <w:vertAlign w:val="subscript"/>
          <w:lang w:val="en-US"/>
        </w:rPr>
        <w:t>B</w:t>
      </w:r>
      <w:r>
        <w:t xml:space="preserve"> (см. рисунок 14.1, б</w:t>
      </w:r>
      <w:r>
        <w:rPr>
          <w:i/>
          <w:iCs/>
        </w:rPr>
        <w:t>),</w:t>
      </w:r>
      <w:r>
        <w:t xml:space="preserve"> то про</w:t>
      </w:r>
      <w:r>
        <w:softHyphen/>
        <w:t>цесс называется квазибелым шумом. Его дисперсия σ</w:t>
      </w:r>
      <w:r>
        <w:rPr>
          <w:vertAlign w:val="superscript"/>
        </w:rPr>
        <w:t>2</w:t>
      </w:r>
      <w:r>
        <w:t xml:space="preserve"> == </w:t>
      </w:r>
      <w:r>
        <w:rPr>
          <w:lang w:val="en-US"/>
        </w:rPr>
        <w:t>B</w:t>
      </w:r>
      <w:r>
        <w:t xml:space="preserve">(0) = </w:t>
      </w:r>
      <w:r>
        <w:rPr>
          <w:lang w:val="en-US"/>
        </w:rPr>
        <w:t>N</w:t>
      </w:r>
      <w:r>
        <w:rPr>
          <w:vertAlign w:val="subscript"/>
        </w:rPr>
        <w:t>0</w:t>
      </w:r>
      <w:r>
        <w:rPr>
          <w:lang w:val="en-US"/>
        </w:rPr>
        <w:t>F</w:t>
      </w:r>
      <w:r>
        <w:rPr>
          <w:vertAlign w:val="subscript"/>
          <w:lang w:val="en-US"/>
        </w:rPr>
        <w:t>B</w:t>
      </w:r>
      <w:r>
        <w:t>. Найдём ФК квазибелого шума:</w:t>
      </w:r>
    </w:p>
    <w:p w:rsidR="00EF49F2" w:rsidRDefault="00EF49F2" w:rsidP="00EF49F2">
      <w:pPr>
        <w:jc w:val="center"/>
      </w:pPr>
      <w:r>
        <w:rPr>
          <w:noProof/>
        </w:rPr>
        <w:lastRenderedPageBreak/>
        <w:drawing>
          <wp:inline distT="0" distB="0" distL="0" distR="0" wp14:anchorId="0FA00A52" wp14:editId="09B8A1E4">
            <wp:extent cx="4314825" cy="1504950"/>
            <wp:effectExtent l="0" t="0" r="9525" b="0"/>
            <wp:docPr id="6" name="Picture 6" descr="C:\Users\Василий\Desktop\Нов лек ТЭС\Лекции ТЭС последние\ГЛАВА 2_files\image28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6" descr="C:\Users\Василий\Desktop\Нов лек ТЭС\Лекции ТЭС последние\ГЛАВА 2_files\image282.gif"/>
                    <pic:cNvPicPr>
                      <a:picLocks noChangeAspect="1" noChangeArrowheads="1"/>
                    </pic:cNvPicPr>
                  </pic:nvPicPr>
                  <pic:blipFill>
                    <a:blip r:link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4825" cy="1504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pPr w:leftFromText="45" w:rightFromText="45" w:vertAnchor="text"/>
        <w:tblW w:w="0" w:type="auto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"/>
        <w:gridCol w:w="9349"/>
      </w:tblGrid>
      <w:tr w:rsidR="00EF49F2" w:rsidTr="00697FD0">
        <w:trPr>
          <w:gridAfter w:val="1"/>
          <w:trHeight w:val="60"/>
          <w:tblCellSpacing w:w="0" w:type="dxa"/>
        </w:trPr>
        <w:tc>
          <w:tcPr>
            <w:tcW w:w="180" w:type="dxa"/>
            <w:vAlign w:val="center"/>
            <w:hideMark/>
          </w:tcPr>
          <w:p w:rsidR="00EF49F2" w:rsidRDefault="00EF49F2" w:rsidP="00697FD0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</w:tr>
      <w:tr w:rsidR="00EF49F2" w:rsidTr="00697FD0">
        <w:trPr>
          <w:tblCellSpacing w:w="0" w:type="dxa"/>
        </w:trPr>
        <w:tc>
          <w:tcPr>
            <w:tcW w:w="0" w:type="auto"/>
            <w:vAlign w:val="center"/>
            <w:hideMark/>
          </w:tcPr>
          <w:p w:rsidR="00EF49F2" w:rsidRDefault="00EF49F2" w:rsidP="00697FD0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EF49F2" w:rsidRDefault="00EF49F2" w:rsidP="00697FD0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  <w:noProof/>
              </w:rPr>
              <w:drawing>
                <wp:inline distT="0" distB="0" distL="0" distR="0" wp14:anchorId="461B27D9" wp14:editId="1AD47E6F">
                  <wp:extent cx="6096000" cy="838200"/>
                  <wp:effectExtent l="0" t="0" r="0" b="0"/>
                  <wp:docPr id="7" name="Picture 7" descr="C:\Users\Василий\Desktop\Нов лек ТЭС\Лекции ТЭС последние\ГЛАВА 2_files\image283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5" descr="C:\Users\Василий\Desktop\Нов лек ТЭС\Лекции ТЭС последние\ГЛАВА 2_files\image283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link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96000" cy="838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EF49F2" w:rsidRDefault="00EF49F2" w:rsidP="00EF49F2">
      <w:pPr>
        <w:jc w:val="center"/>
      </w:pPr>
    </w:p>
    <w:p w:rsidR="00EF49F2" w:rsidRDefault="00EF49F2" w:rsidP="00EF49F2">
      <w:pPr>
        <w:jc w:val="center"/>
      </w:pPr>
    </w:p>
    <w:p w:rsidR="00EF49F2" w:rsidRDefault="00EF49F2" w:rsidP="00EF49F2">
      <w:pPr>
        <w:jc w:val="center"/>
      </w:pPr>
    </w:p>
    <w:p w:rsidR="00EF49F2" w:rsidRDefault="00EF49F2" w:rsidP="00EF49F2">
      <w:pPr>
        <w:jc w:val="center"/>
      </w:pPr>
      <w:r>
        <w:rPr>
          <w:noProof/>
          <w:vertAlign w:val="subscript"/>
        </w:rPr>
        <w:drawing>
          <wp:inline distT="0" distB="0" distL="0" distR="0" wp14:anchorId="6503308E" wp14:editId="466A9552">
            <wp:extent cx="2571750" cy="485775"/>
            <wp:effectExtent l="0" t="0" r="0" b="9525"/>
            <wp:docPr id="8" name="Picture 8" descr="C:\Users\Василий\Desktop\Нов лек ТЭС\Лекции ТЭС последние\ГЛАВА 2_files\image28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4" descr="C:\Users\Василий\Desktop\Нов лек ТЭС\Лекции ТЭС последние\ГЛАВА 2_files\image284.gif"/>
                    <pic:cNvPicPr>
                      <a:picLocks noChangeAspect="1" noChangeArrowheads="1"/>
                    </pic:cNvPicPr>
                  </pic:nvPicPr>
                  <pic:blipFill>
                    <a:blip r:link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0" cy="48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.           (14.2)</w:t>
      </w:r>
    </w:p>
    <w:p w:rsidR="00EF49F2" w:rsidRDefault="00EF49F2" w:rsidP="00EF49F2">
      <w:pPr>
        <w:jc w:val="center"/>
      </w:pPr>
      <w:r>
        <w:t>Полученная ФК отображена на рисунке 14.2</w:t>
      </w:r>
      <w:r>
        <w:rPr>
          <w:i/>
          <w:iCs/>
        </w:rPr>
        <w:t xml:space="preserve"> </w:t>
      </w:r>
      <w:r>
        <w:t>а</w:t>
      </w:r>
      <w:r>
        <w:rPr>
          <w:i/>
          <w:iCs/>
        </w:rPr>
        <w:t>.</w:t>
      </w:r>
      <w:r>
        <w:t xml:space="preserve"> Обратим внимание на то, что при значениях, кратных 1/2</w:t>
      </w:r>
      <w:r>
        <w:rPr>
          <w:lang w:val="en-US"/>
        </w:rPr>
        <w:t>F</w:t>
      </w:r>
      <w:r>
        <w:rPr>
          <w:vertAlign w:val="subscript"/>
          <w:lang w:val="en-US"/>
        </w:rPr>
        <w:t>B</w:t>
      </w:r>
      <w:r>
        <w:t xml:space="preserve">, значения </w:t>
      </w:r>
      <w:r>
        <w:rPr>
          <w:lang w:val="en-US"/>
        </w:rPr>
        <w:t>B</w:t>
      </w:r>
      <w:r>
        <w:t>(</w:t>
      </w:r>
      <w:r>
        <w:rPr>
          <w:lang w:val="en-US"/>
        </w:rPr>
        <w:t>τ</w:t>
      </w:r>
      <w:r>
        <w:t xml:space="preserve">) проходят через нуль. Это означает, что сечения процесса, разделённые интервалом </w:t>
      </w:r>
      <w:r>
        <w:rPr>
          <w:i/>
          <w:iCs/>
          <w:lang w:val="en-US"/>
        </w:rPr>
        <w:t>k</w:t>
      </w:r>
      <w:r>
        <w:rPr>
          <w:i/>
          <w:iCs/>
        </w:rPr>
        <w:t>/2</w:t>
      </w:r>
      <w:r>
        <w:rPr>
          <w:i/>
          <w:iCs/>
          <w:lang w:val="en-US"/>
        </w:rPr>
        <w:t>F</w:t>
      </w:r>
      <w:r>
        <w:rPr>
          <w:i/>
          <w:iCs/>
          <w:vertAlign w:val="subscript"/>
          <w:lang w:val="en-US"/>
        </w:rPr>
        <w:t>B</w:t>
      </w:r>
      <w:r>
        <w:rPr>
          <w:i/>
          <w:iCs/>
        </w:rPr>
        <w:t xml:space="preserve"> (</w:t>
      </w:r>
      <w:r>
        <w:rPr>
          <w:i/>
          <w:iCs/>
          <w:lang w:val="en-US"/>
        </w:rPr>
        <w:t>k</w:t>
      </w:r>
      <w:r>
        <w:rPr>
          <w:i/>
          <w:iCs/>
        </w:rPr>
        <w:t xml:space="preserve"> —</w:t>
      </w:r>
      <w:r>
        <w:t xml:space="preserve"> целое число), не коррелированны между собой. Если беспредельно увеличивать граничную часто</w:t>
      </w:r>
      <w:r>
        <w:softHyphen/>
        <w:t xml:space="preserve">ту </w:t>
      </w:r>
      <w:r>
        <w:rPr>
          <w:lang w:val="en-US"/>
        </w:rPr>
        <w:t>F</w:t>
      </w:r>
      <w:r>
        <w:rPr>
          <w:vertAlign w:val="subscript"/>
          <w:lang w:val="en-US"/>
        </w:rPr>
        <w:t>B</w:t>
      </w:r>
      <w:r>
        <w:rPr>
          <w:i/>
          <w:iCs/>
        </w:rPr>
        <w:t>,</w:t>
      </w:r>
      <w:r>
        <w:t xml:space="preserve"> то от квазибелого шума придём к абсолютно случайному процессу (белому шуму), у которого два несовпадающих сечения не коррелированны; КФ белого шума выражается δ-функцией (см. рисунок 14.2 б</w:t>
      </w:r>
      <w:r>
        <w:rPr>
          <w:i/>
          <w:iCs/>
        </w:rPr>
        <w:t>)</w:t>
      </w:r>
    </w:p>
    <w:p w:rsidR="00EF49F2" w:rsidRDefault="00EF49F2" w:rsidP="00EF49F2">
      <w:pPr>
        <w:jc w:val="center"/>
      </w:pPr>
      <w:r>
        <w:rPr>
          <w:rFonts w:ascii="Arial" w:hAnsi="Arial" w:cs="Arial"/>
          <w:noProof/>
          <w:vertAlign w:val="subscript"/>
        </w:rPr>
        <w:drawing>
          <wp:inline distT="0" distB="0" distL="0" distR="0" wp14:anchorId="01EF4D8C" wp14:editId="547EB6C5">
            <wp:extent cx="971550" cy="409575"/>
            <wp:effectExtent l="0" t="0" r="0" b="9525"/>
            <wp:docPr id="9" name="Picture 9" descr="C:\Users\Василий\Desktop\Нов лек ТЭС\Лекции ТЭС последние\ГЛАВА 2_files\image28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3" descr="C:\Users\Василий\Desktop\Нов лек ТЭС\Лекции ТЭС последние\ГЛАВА 2_files\image285.gif"/>
                    <pic:cNvPicPr>
                      <a:picLocks noChangeAspect="1" noChangeArrowheads="1"/>
                    </pic:cNvPicPr>
                  </pic:nvPicPr>
                  <pic:blipFill>
                    <a:blip r:link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40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.                                              (14.3)</w:t>
      </w:r>
    </w:p>
    <w:p w:rsidR="00EF49F2" w:rsidRDefault="00EF49F2" w:rsidP="00EF49F2">
      <w:pPr>
        <w:jc w:val="center"/>
      </w:pPr>
      <w:r>
        <w:t xml:space="preserve">Результат (14.3) следует из (14.2), если воспользоваться определением </w:t>
      </w:r>
      <w:r>
        <w:rPr>
          <w:lang w:val="en-US"/>
        </w:rPr>
        <w:t>δ</w:t>
      </w:r>
      <w:r>
        <w:t>-функции. Белый шум является математической идеализацией реального процесса, так как средняя мощность (</w:t>
      </w:r>
      <w:r>
        <w:rPr>
          <w:lang w:val="en-US"/>
        </w:rPr>
        <w:t>B</w:t>
      </w:r>
      <w:r>
        <w:t>(0)), необходимая для создания такого процесса, оказывается бесконечно большой. Примером помехи типа белого шума является теп</w:t>
      </w:r>
      <w:r>
        <w:softHyphen/>
        <w:t>ловой шум резисторов, имеющий практически равномерную спектральную плотность на частотах вплоть до 6∙10</w:t>
      </w:r>
      <w:r>
        <w:rPr>
          <w:vertAlign w:val="superscript"/>
        </w:rPr>
        <w:t>12</w:t>
      </w:r>
      <w:r>
        <w:t xml:space="preserve"> Гц.</w:t>
      </w:r>
    </w:p>
    <w:p w:rsidR="00EF49F2" w:rsidRDefault="00EF49F2" w:rsidP="00EF49F2">
      <w:pPr>
        <w:jc w:val="center"/>
      </w:pPr>
      <w:r>
        <w:t>Классификация каналов связи возможна с использованием различных при</w:t>
      </w:r>
      <w:r>
        <w:softHyphen/>
        <w:t xml:space="preserve">знаков. </w:t>
      </w:r>
      <w:r>
        <w:rPr>
          <w:i/>
          <w:iCs/>
        </w:rPr>
        <w:t>В зависимости от назначения</w:t>
      </w:r>
      <w:r>
        <w:t xml:space="preserve"> систем каналы связи делят на телеграф</w:t>
      </w:r>
      <w:r>
        <w:softHyphen/>
        <w:t>ные, фототелеграфные, телефонные, звукового вещания, передачи данных, те</w:t>
      </w:r>
      <w:r>
        <w:softHyphen/>
        <w:t>левизионные, телеметрические, смешанные и т.п.</w:t>
      </w:r>
    </w:p>
    <w:p w:rsidR="00EF49F2" w:rsidRDefault="00EF49F2" w:rsidP="00EF49F2">
      <w:pPr>
        <w:jc w:val="center"/>
      </w:pPr>
      <w:r>
        <w:rPr>
          <w:i/>
          <w:iCs/>
        </w:rPr>
        <w:t>В зависимости от рас</w:t>
      </w:r>
      <w:r>
        <w:rPr>
          <w:i/>
          <w:iCs/>
        </w:rPr>
        <w:softHyphen/>
        <w:t>пространения</w:t>
      </w:r>
      <w:r>
        <w:t xml:space="preserve"> сигналов между пунктами связи в свободном пространстве или по направляющим линиям выделяют каналы радио (в частности, косми</w:t>
      </w:r>
      <w:r>
        <w:softHyphen/>
        <w:t>ческие каналы) и проводной связи (воздушные, кабельные, волоконно-оптические линии связи, волноводные СВЧ тракты и т.п.)</w:t>
      </w:r>
    </w:p>
    <w:p w:rsidR="00EF49F2" w:rsidRDefault="00EF49F2" w:rsidP="00EF49F2">
      <w:pPr>
        <w:jc w:val="center"/>
      </w:pPr>
      <w:r>
        <w:rPr>
          <w:i/>
          <w:iCs/>
        </w:rPr>
        <w:t>В зависимости от характера связи между сигналами на входе и выходе канала</w:t>
      </w:r>
      <w:r>
        <w:t xml:space="preserve"> различают каналы (звенья, цепи) линейные и нелинейные.</w:t>
      </w:r>
    </w:p>
    <w:p w:rsidR="00EF49F2" w:rsidRDefault="00EF49F2" w:rsidP="00EF49F2">
      <w:pPr>
        <w:jc w:val="center"/>
      </w:pPr>
      <w:r>
        <w:t xml:space="preserve">Различают каналы чисто </w:t>
      </w:r>
      <w:r>
        <w:rPr>
          <w:i/>
          <w:iCs/>
        </w:rPr>
        <w:t>временные</w:t>
      </w:r>
      <w:r>
        <w:t xml:space="preserve"> (с сосредоточенными параметрами), в которых сигналы на входе и выходе описываются функциями одного скаляр</w:t>
      </w:r>
      <w:r>
        <w:softHyphen/>
        <w:t xml:space="preserve">ного параметра (времени </w:t>
      </w:r>
      <w:r>
        <w:rPr>
          <w:i/>
          <w:iCs/>
          <w:lang w:val="en-US"/>
        </w:rPr>
        <w:t>t</w:t>
      </w:r>
      <w:r>
        <w:t xml:space="preserve">), и </w:t>
      </w:r>
      <w:r>
        <w:rPr>
          <w:i/>
          <w:iCs/>
        </w:rPr>
        <w:t>пространственно-временные каналы</w:t>
      </w:r>
      <w:r>
        <w:t xml:space="preserve"> (с распре</w:t>
      </w:r>
      <w:r>
        <w:softHyphen/>
        <w:t xml:space="preserve">делёнными параметрами), в которых сигналы на входе и (или) выходе описываются </w:t>
      </w:r>
      <w:r>
        <w:softHyphen/>
        <w:t>пространственными координатами (</w:t>
      </w:r>
      <w:r>
        <w:rPr>
          <w:i/>
          <w:iCs/>
        </w:rPr>
        <w:t xml:space="preserve">х, у, </w:t>
      </w:r>
      <w:r>
        <w:rPr>
          <w:i/>
          <w:iCs/>
          <w:lang w:val="en-US"/>
        </w:rPr>
        <w:t>z</w:t>
      </w:r>
      <w:r>
        <w:t xml:space="preserve">). Такие сигналы называют </w:t>
      </w:r>
      <w:r>
        <w:rPr>
          <w:i/>
          <w:iCs/>
        </w:rPr>
        <w:t>полями.</w:t>
      </w:r>
    </w:p>
    <w:p w:rsidR="00EF49F2" w:rsidRDefault="00EF49F2" w:rsidP="00EF49F2">
      <w:pPr>
        <w:jc w:val="center"/>
      </w:pPr>
      <w:r>
        <w:rPr>
          <w:i/>
          <w:iCs/>
        </w:rPr>
        <w:t>Более существенна</w:t>
      </w:r>
      <w:r>
        <w:t xml:space="preserve"> классификация каналов электрической связи </w:t>
      </w:r>
      <w:r>
        <w:rPr>
          <w:i/>
          <w:iCs/>
        </w:rPr>
        <w:t>по диапа</w:t>
      </w:r>
      <w:r>
        <w:rPr>
          <w:i/>
          <w:iCs/>
        </w:rPr>
        <w:softHyphen/>
        <w:t>зону используемых ими частот</w:t>
      </w:r>
      <w:r>
        <w:t>. В настоящее время в радиосвязи применяют частоты примерно от 3-10</w:t>
      </w:r>
      <w:r>
        <w:rPr>
          <w:vertAlign w:val="superscript"/>
        </w:rPr>
        <w:t>3</w:t>
      </w:r>
      <w:r>
        <w:t xml:space="preserve"> до 3-10</w:t>
      </w:r>
      <w:r>
        <w:rPr>
          <w:vertAlign w:val="superscript"/>
        </w:rPr>
        <w:t>12</w:t>
      </w:r>
      <w:r>
        <w:t xml:space="preserve"> Гц. Благодаря созданию и широкому внедрению квантовых генераторов (лазеров), освоен и диапазон све</w:t>
      </w:r>
      <w:r>
        <w:softHyphen/>
        <w:t>товых волн (оптический диапазон). Практически в оптико-волоконных линиях связи используются частоты порядка 10</w:t>
      </w:r>
      <w:r>
        <w:rPr>
          <w:vertAlign w:val="superscript"/>
        </w:rPr>
        <w:t>14</w:t>
      </w:r>
      <w:r>
        <w:t xml:space="preserve"> Гц (длины волн 1,55; 1,35; 0,85 мкм). Для современного этапа развития техники связи характерна тенденция к переходу на всё более высокие частоты.</w:t>
      </w:r>
    </w:p>
    <w:p w:rsidR="00EF49F2" w:rsidRDefault="00EF49F2" w:rsidP="00EF49F2">
      <w:pPr>
        <w:jc w:val="center"/>
      </w:pPr>
      <w:r>
        <w:rPr>
          <w:noProof/>
        </w:rPr>
        <w:drawing>
          <wp:anchor distT="0" distB="0" distL="114300" distR="114300" simplePos="0" relativeHeight="251659264" behindDoc="0" locked="0" layoutInCell="1" allowOverlap="0" wp14:anchorId="1C368547" wp14:editId="72A3B9E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1771650" cy="771525"/>
            <wp:effectExtent l="0" t="0" r="0" b="9525"/>
            <wp:wrapSquare wrapText="bothSides"/>
            <wp:docPr id="10" name="Picture 58" descr="Подпись: Рисунок 14.3 - Сис-тема как «черный ящик»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 descr="Подпись: Рисунок 14.3 - Сис-тема как «черный ящик»"/>
                    <pic:cNvPicPr>
                      <a:picLocks noChangeAspect="1" noChangeArrowheads="1"/>
                    </pic:cNvPicPr>
                  </pic:nvPicPr>
                  <pic:blipFill>
                    <a:blip r:link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1650" cy="7715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0288" behindDoc="0" locked="0" layoutInCell="1" allowOverlap="0" wp14:anchorId="0E1EB25A" wp14:editId="4AACD06E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1714500" cy="828675"/>
            <wp:effectExtent l="0" t="0" r="0" b="9525"/>
            <wp:wrapSquare wrapText="bothSides"/>
            <wp:docPr id="11" name="Picture 59" descr="C:\Users\Василий\Desktop\Нов лек ТЭС\Лекции ТЭС последние\ГЛАВА 2_files\image28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 descr="C:\Users\Василий\Desktop\Нов лек ТЭС\Лекции ТЭС последние\ГЛАВА 2_files\image287.jpg"/>
                    <pic:cNvPicPr>
                      <a:picLocks noChangeAspect="1" noChangeArrowheads="1"/>
                    </pic:cNvPicPr>
                  </pic:nvPicPr>
                  <pic:blipFill>
                    <a:blip r:link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0" cy="8286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 xml:space="preserve">Радиотехническое устройство независимо от своего назначения и уровня сложности представляет собой </w:t>
      </w:r>
      <w:r>
        <w:rPr>
          <w:i/>
          <w:iCs/>
        </w:rPr>
        <w:t xml:space="preserve">систему, </w:t>
      </w:r>
      <w:r>
        <w:t xml:space="preserve">т. е. совокупность физических объектов, между которыми существуют определенные взаимодействия. В структуре системы можно выделить </w:t>
      </w:r>
      <w:r>
        <w:rPr>
          <w:i/>
          <w:iCs/>
        </w:rPr>
        <w:t>вход,</w:t>
      </w:r>
      <w:r>
        <w:t xml:space="preserve"> на который подается исходный сигнал, и </w:t>
      </w:r>
      <w:r>
        <w:rPr>
          <w:i/>
          <w:iCs/>
        </w:rPr>
        <w:t>выход,</w:t>
      </w:r>
      <w:r>
        <w:t xml:space="preserve"> откуда снимается преобразованный сигнал. Если интересуются лишь связью между сигналами на входе и выходе и не описывают внутренние процессы в системе, то говорят, что система представляет собой «черный ящик». Как входной сигнал </w:t>
      </w:r>
      <w:r>
        <w:rPr>
          <w:lang w:val="en-US"/>
        </w:rPr>
        <w:t>u</w:t>
      </w:r>
      <w:r>
        <w:rPr>
          <w:vertAlign w:val="subscript"/>
        </w:rPr>
        <w:t>вх</w:t>
      </w:r>
      <w:r>
        <w:t>(</w:t>
      </w:r>
      <w:r>
        <w:rPr>
          <w:lang w:val="en-US"/>
        </w:rPr>
        <w:t>t</w:t>
      </w:r>
      <w:r>
        <w:t xml:space="preserve">), так и выходной сигнал </w:t>
      </w:r>
      <w:r>
        <w:rPr>
          <w:lang w:val="en-US"/>
        </w:rPr>
        <w:t>u</w:t>
      </w:r>
      <w:r>
        <w:rPr>
          <w:vertAlign w:val="subscript"/>
        </w:rPr>
        <w:t>вых</w:t>
      </w:r>
      <w:r>
        <w:t>(</w:t>
      </w:r>
      <w:r>
        <w:rPr>
          <w:lang w:val="en-US"/>
        </w:rPr>
        <w:t>t</w:t>
      </w:r>
      <w:r>
        <w:t xml:space="preserve">), называемый также </w:t>
      </w:r>
      <w:r>
        <w:rPr>
          <w:i/>
          <w:iCs/>
        </w:rPr>
        <w:t>откликом</w:t>
      </w:r>
      <w:r>
        <w:t xml:space="preserve"> или </w:t>
      </w:r>
      <w:r>
        <w:rPr>
          <w:i/>
          <w:iCs/>
        </w:rPr>
        <w:t>выходной реакцией</w:t>
      </w:r>
      <w:r>
        <w:t xml:space="preserve"> системы, описываются одиночными функциями времени или в виде </w:t>
      </w:r>
      <w:r>
        <w:rPr>
          <w:i/>
          <w:iCs/>
        </w:rPr>
        <w:t>т-</w:t>
      </w:r>
      <w:r>
        <w:t xml:space="preserve">мерного вектора </w:t>
      </w:r>
      <w:r>
        <w:rPr>
          <w:i/>
          <w:noProof/>
          <w:vertAlign w:val="subscript"/>
        </w:rPr>
        <w:drawing>
          <wp:inline distT="0" distB="0" distL="0" distR="0" wp14:anchorId="62C4EC77" wp14:editId="37B08FA3">
            <wp:extent cx="2124075" cy="257175"/>
            <wp:effectExtent l="0" t="0" r="9525" b="9525"/>
            <wp:docPr id="12" name="Picture 12" descr="C:\Users\Василий\Desktop\Нов лек ТЭС\Лекции ТЭС последние\ГЛАВА 2_files\image28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2" descr="C:\Users\Василий\Desktop\Нов лек ТЭС\Лекции ТЭС последние\ГЛАВА 2_files\image288.gif"/>
                    <pic:cNvPicPr>
                      <a:picLocks noChangeAspect="1" noChangeArrowheads="1"/>
                    </pic:cNvPicPr>
                  </pic:nvPicPr>
                  <pic:blipFill>
                    <a:blip r:link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407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i/>
          <w:iCs/>
        </w:rPr>
        <w:t>,</w:t>
      </w:r>
      <w:r>
        <w:t xml:space="preserve">а выходной сигнал — в виде </w:t>
      </w:r>
      <w:r>
        <w:rPr>
          <w:lang w:val="en-US"/>
        </w:rPr>
        <w:t>n</w:t>
      </w:r>
      <w:r>
        <w:t xml:space="preserve">-мерного вектора </w:t>
      </w:r>
      <w:r>
        <w:rPr>
          <w:i/>
          <w:noProof/>
          <w:vertAlign w:val="subscript"/>
        </w:rPr>
        <w:drawing>
          <wp:inline distT="0" distB="0" distL="0" distR="0" wp14:anchorId="0B83241A" wp14:editId="410CC2A7">
            <wp:extent cx="2314575" cy="257175"/>
            <wp:effectExtent l="0" t="0" r="9525" b="9525"/>
            <wp:docPr id="13" name="Picture 13" descr="C:\Users\Василий\Desktop\Нов лек ТЭС\Лекции ТЭС последние\ГЛАВА 2_files\image28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1" descr="C:\Users\Василий\Desktop\Нов лек ТЭС\Лекции ТЭС последние\ГЛАВА 2_files\image289.gif"/>
                    <pic:cNvPicPr>
                      <a:picLocks noChangeAspect="1" noChangeArrowheads="1"/>
                    </pic:cNvPicPr>
                  </pic:nvPicPr>
                  <pic:blipFill>
                    <a:blip r:link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457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.</w:t>
      </w:r>
    </w:p>
    <w:p w:rsidR="00EF49F2" w:rsidRDefault="00EF49F2" w:rsidP="00EF49F2">
      <w:pPr>
        <w:jc w:val="center"/>
      </w:pPr>
      <w:r>
        <w:t xml:space="preserve">Классификацию систем проводят на основании существенных свойств их математических моделей. Принято говорить, что система </w:t>
      </w:r>
      <w:r>
        <w:rPr>
          <w:i/>
          <w:iCs/>
        </w:rPr>
        <w:t>стационарна,</w:t>
      </w:r>
      <w:r>
        <w:t xml:space="preserve"> если ее выходная реакция не зависит от того, в какой момент времени поступает входной сигнал. Если Т — оператор стационарной системы, то</w:t>
      </w:r>
    </w:p>
    <w:p w:rsidR="00EF49F2" w:rsidRDefault="00EF49F2" w:rsidP="00EF49F2">
      <w:pPr>
        <w:jc w:val="center"/>
      </w:pPr>
      <w:r>
        <w:rPr>
          <w:i/>
          <w:noProof/>
          <w:vertAlign w:val="subscript"/>
        </w:rPr>
        <w:drawing>
          <wp:inline distT="0" distB="0" distL="0" distR="0" wp14:anchorId="219445E7" wp14:editId="504A8276">
            <wp:extent cx="1600200" cy="257175"/>
            <wp:effectExtent l="0" t="0" r="0" b="9525"/>
            <wp:docPr id="14" name="Picture 14" descr="C:\Users\Василий\Desktop\Нов лек ТЭС\Лекции ТЭС последние\ГЛАВА 2_files\image29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0" descr="C:\Users\Василий\Desktop\Нов лек ТЭС\Лекции ТЭС последние\ГЛАВА 2_files\image290.gif"/>
                    <pic:cNvPicPr>
                      <a:picLocks noChangeAspect="1" noChangeArrowheads="1"/>
                    </pic:cNvPicPr>
                  </pic:nvPicPr>
                  <pic:blipFill>
                    <a:blip r:link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(14.4)</w:t>
      </w:r>
    </w:p>
    <w:p w:rsidR="00EF49F2" w:rsidRDefault="00EF49F2" w:rsidP="00EF49F2">
      <w:pPr>
        <w:jc w:val="center"/>
      </w:pPr>
      <w:r>
        <w:t xml:space="preserve">при любом значении </w:t>
      </w:r>
      <w:r>
        <w:rPr>
          <w:i/>
          <w:iCs/>
          <w:lang w:val="en-US"/>
        </w:rPr>
        <w:t>t</w:t>
      </w:r>
      <w:r>
        <w:rPr>
          <w:i/>
          <w:iCs/>
          <w:vertAlign w:val="subscript"/>
        </w:rPr>
        <w:t>0</w:t>
      </w:r>
      <w:r>
        <w:rPr>
          <w:i/>
          <w:iCs/>
        </w:rPr>
        <w:t>.</w:t>
      </w:r>
      <w:r>
        <w:t xml:space="preserve"> Стационарные системы называют также системами с постоянными во времени параметрами.</w:t>
      </w:r>
    </w:p>
    <w:p w:rsidR="00EF49F2" w:rsidRDefault="00EF49F2" w:rsidP="00EF49F2">
      <w:pPr>
        <w:jc w:val="center"/>
      </w:pPr>
      <w:r>
        <w:t xml:space="preserve">Если же свойства системы не инвариантны относительно выбора начала отсчета времени, то такую систему называют </w:t>
      </w:r>
      <w:r>
        <w:rPr>
          <w:i/>
          <w:iCs/>
        </w:rPr>
        <w:t>нестационарной</w:t>
      </w:r>
      <w:r>
        <w:t xml:space="preserve"> (системой с переменными во времени параметрами или параметрической системой).</w:t>
      </w:r>
    </w:p>
    <w:p w:rsidR="00EF49F2" w:rsidRDefault="00EF49F2" w:rsidP="00EF49F2">
      <w:pPr>
        <w:jc w:val="center"/>
      </w:pPr>
      <w:r>
        <w:t>Важнейший принцип классификаций, систем основан на том, что различные системы по-разному ведут себя при подаче на вход суммы нескольких сигналов. Если оператор системы таков, что справедливы равенства</w:t>
      </w:r>
    </w:p>
    <w:p w:rsidR="00EF49F2" w:rsidRDefault="00EF49F2" w:rsidP="00EF49F2">
      <w:pPr>
        <w:jc w:val="center"/>
      </w:pPr>
      <w:r>
        <w:rPr>
          <w:i/>
          <w:noProof/>
          <w:vertAlign w:val="subscript"/>
        </w:rPr>
        <w:drawing>
          <wp:inline distT="0" distB="0" distL="0" distR="0" wp14:anchorId="557BD703" wp14:editId="0AF46862">
            <wp:extent cx="1733550" cy="466725"/>
            <wp:effectExtent l="0" t="0" r="0" b="9525"/>
            <wp:docPr id="15" name="Picture 15" descr="C:\Users\Василий\Desktop\Нов лек ТЭС\Лекции ТЭС последние\ГЛАВА 2_files\image29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9" descr="C:\Users\Василий\Desktop\Нов лек ТЭС\Лекции ТЭС последние\ГЛАВА 2_files\image291.gif"/>
                    <pic:cNvPicPr>
                      <a:picLocks noChangeAspect="1" noChangeArrowheads="1"/>
                    </pic:cNvPicPr>
                  </pic:nvPicPr>
                  <pic:blipFill>
                    <a:blip r:link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3550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,     (14.5)</w:t>
      </w:r>
    </w:p>
    <w:p w:rsidR="00EF49F2" w:rsidRDefault="00EF49F2" w:rsidP="00EF49F2">
      <w:pPr>
        <w:jc w:val="center"/>
      </w:pPr>
      <w:r>
        <w:t xml:space="preserve">где </w:t>
      </w:r>
      <w:r>
        <w:rPr>
          <w:i/>
          <w:noProof/>
          <w:vertAlign w:val="subscript"/>
        </w:rPr>
        <w:drawing>
          <wp:inline distT="0" distB="0" distL="0" distR="0" wp14:anchorId="5D55265B" wp14:editId="26AD5816">
            <wp:extent cx="152400" cy="142875"/>
            <wp:effectExtent l="0" t="0" r="0" b="9525"/>
            <wp:docPr id="16" name="Picture 16" descr="C:\Users\Василий\Desktop\Нов лек ТЭС\Лекции ТЭС последние\ГЛАВА 2_files\image29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8" descr="C:\Users\Василий\Desktop\Нов лек ТЭС\Лекции ТЭС последние\ГЛАВА 2_files\image292.gif"/>
                    <pic:cNvPicPr>
                      <a:picLocks noChangeAspect="1" noChangeArrowheads="1"/>
                    </pic:cNvPicPr>
                  </pic:nvPicPr>
                  <pic:blipFill>
                    <a:blip r:link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 — произвольное число, то данная система называется </w:t>
      </w:r>
      <w:r>
        <w:rPr>
          <w:i/>
          <w:iCs/>
        </w:rPr>
        <w:t>линейной.</w:t>
      </w:r>
      <w:r>
        <w:t xml:space="preserve"> Условия (14.5) выражают фундаментальный </w:t>
      </w:r>
      <w:r>
        <w:rPr>
          <w:i/>
          <w:iCs/>
        </w:rPr>
        <w:t xml:space="preserve">принцип суперпозиции. </w:t>
      </w:r>
      <w:r>
        <w:t xml:space="preserve">Если эти условия не выполняются, то говорят, что система является </w:t>
      </w:r>
      <w:r>
        <w:rPr>
          <w:i/>
          <w:iCs/>
        </w:rPr>
        <w:t>нелинейной.</w:t>
      </w:r>
    </w:p>
    <w:p w:rsidR="00EF49F2" w:rsidRDefault="00EF49F2" w:rsidP="00EF49F2">
      <w:pPr>
        <w:jc w:val="center"/>
      </w:pPr>
      <w:r>
        <w:t xml:space="preserve">Путь </w:t>
      </w:r>
      <w:r>
        <w:rPr>
          <w:i/>
          <w:iCs/>
        </w:rPr>
        <w:t>анализа прохождения детерминированных сигналов через линейные цепи</w:t>
      </w:r>
      <w:r>
        <w:t xml:space="preserve"> основан на временном или частотном представлении свойств сигналов и систем.</w:t>
      </w:r>
    </w:p>
    <w:p w:rsidR="00EF49F2" w:rsidRDefault="00EF49F2" w:rsidP="00EF49F2">
      <w:pPr>
        <w:jc w:val="center"/>
      </w:pPr>
      <w:r>
        <w:t xml:space="preserve">Пусть некоторая линейная стационарная система описывается оператором Т. Для простоты будем полагать, что входной и выходной сигналы одномерны. По определению, </w:t>
      </w:r>
      <w:r>
        <w:rPr>
          <w:i/>
          <w:iCs/>
        </w:rPr>
        <w:t xml:space="preserve">импульсной характеристикой </w:t>
      </w:r>
      <w:r>
        <w:t xml:space="preserve">системы называется функция </w:t>
      </w:r>
      <w:r>
        <w:rPr>
          <w:i/>
          <w:iCs/>
          <w:lang w:val="en-US"/>
        </w:rPr>
        <w:t>h</w:t>
      </w:r>
      <w:r>
        <w:rPr>
          <w:i/>
          <w:iCs/>
        </w:rPr>
        <w:t>(</w:t>
      </w:r>
      <w:r>
        <w:rPr>
          <w:i/>
          <w:iCs/>
          <w:lang w:val="en-US"/>
        </w:rPr>
        <w:t>t</w:t>
      </w:r>
      <w:r>
        <w:rPr>
          <w:i/>
          <w:iCs/>
        </w:rPr>
        <w:t>),</w:t>
      </w:r>
      <w:r>
        <w:t xml:space="preserve"> являющаяся откликом системы на входной сигнал </w:t>
      </w:r>
      <w:r>
        <w:rPr>
          <w:noProof/>
          <w:vertAlign w:val="subscript"/>
        </w:rPr>
        <w:drawing>
          <wp:inline distT="0" distB="0" distL="0" distR="0" wp14:anchorId="63191477" wp14:editId="5432F637">
            <wp:extent cx="142875" cy="180975"/>
            <wp:effectExtent l="0" t="0" r="9525" b="9525"/>
            <wp:docPr id="17" name="Picture 17" descr="C:\Users\Василий\Desktop\Нов лек ТЭС\Лекции ТЭС последние\ГЛАВА 2_files\image29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7" descr="C:\Users\Василий\Desktop\Нов лек ТЭС\Лекции ТЭС последние\ГЛАВА 2_files\image293.gif"/>
                    <pic:cNvPicPr>
                      <a:picLocks noChangeAspect="1" noChangeArrowheads="1"/>
                    </pic:cNvPicPr>
                  </pic:nvPicPr>
                  <pic:blipFill>
                    <a:blip r:link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(</w:t>
      </w:r>
      <w:r>
        <w:rPr>
          <w:lang w:val="en-US"/>
        </w:rPr>
        <w:t>t</w:t>
      </w:r>
      <w:r>
        <w:t xml:space="preserve">). Это означает, что функция </w:t>
      </w:r>
      <w:r>
        <w:rPr>
          <w:i/>
          <w:iCs/>
          <w:lang w:val="en-US"/>
        </w:rPr>
        <w:t>h</w:t>
      </w:r>
      <w:r>
        <w:rPr>
          <w:i/>
          <w:iCs/>
        </w:rPr>
        <w:t>(</w:t>
      </w:r>
      <w:r>
        <w:rPr>
          <w:i/>
          <w:iCs/>
          <w:lang w:val="en-US"/>
        </w:rPr>
        <w:t>t</w:t>
      </w:r>
      <w:r>
        <w:rPr>
          <w:i/>
          <w:iCs/>
        </w:rPr>
        <w:t>)</w:t>
      </w:r>
      <w:r>
        <w:t xml:space="preserve"> удовлетворяет уравнению</w:t>
      </w:r>
    </w:p>
    <w:p w:rsidR="00EF49F2" w:rsidRDefault="00EF49F2" w:rsidP="00EF49F2">
      <w:pPr>
        <w:jc w:val="center"/>
      </w:pPr>
      <w:r>
        <w:rPr>
          <w:noProof/>
          <w:vertAlign w:val="subscript"/>
        </w:rPr>
        <w:drawing>
          <wp:inline distT="0" distB="0" distL="0" distR="0" wp14:anchorId="421C85C8" wp14:editId="5B450F6A">
            <wp:extent cx="723900" cy="190500"/>
            <wp:effectExtent l="0" t="0" r="0" b="0"/>
            <wp:docPr id="18" name="Picture 18" descr="C:\Users\Василий\Desktop\Нов лек ТЭС\Лекции ТЭС последние\ГЛАВА 2_files\image29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6" descr="C:\Users\Василий\Desktop\Нов лек ТЭС\Лекции ТЭС последние\ГЛАВА 2_files\image294.gif"/>
                    <pic:cNvPicPr>
                      <a:picLocks noChangeAspect="1" noChangeArrowheads="1"/>
                    </pic:cNvPicPr>
                  </pic:nvPicPr>
                  <pic:blipFill>
                    <a:blip r:link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.                               (14.6)</w:t>
      </w:r>
    </w:p>
    <w:p w:rsidR="00EF49F2" w:rsidRDefault="00EF49F2" w:rsidP="00EF49F2">
      <w:pPr>
        <w:jc w:val="center"/>
      </w:pPr>
      <w:r>
        <w:t xml:space="preserve">Поскольку система стационарна, аналогичное уравнение будет и в случае, если входное воздействие смещено во времени на производную величину </w:t>
      </w:r>
      <w:r>
        <w:rPr>
          <w:i/>
          <w:iCs/>
          <w:lang w:val="en-US"/>
        </w:rPr>
        <w:t>t</w:t>
      </w:r>
      <w:r>
        <w:rPr>
          <w:i/>
          <w:iCs/>
          <w:vertAlign w:val="subscript"/>
        </w:rPr>
        <w:t>0</w:t>
      </w:r>
      <w:r>
        <w:rPr>
          <w:i/>
          <w:iCs/>
        </w:rPr>
        <w:t>:</w:t>
      </w:r>
    </w:p>
    <w:p w:rsidR="00EF49F2" w:rsidRDefault="00EF49F2" w:rsidP="00EF49F2">
      <w:pPr>
        <w:jc w:val="center"/>
      </w:pPr>
      <w:r>
        <w:rPr>
          <w:noProof/>
          <w:vertAlign w:val="subscript"/>
        </w:rPr>
        <w:drawing>
          <wp:inline distT="0" distB="0" distL="0" distR="0" wp14:anchorId="036D3379" wp14:editId="0F5C53E5">
            <wp:extent cx="1219200" cy="219075"/>
            <wp:effectExtent l="0" t="0" r="0" b="9525"/>
            <wp:docPr id="19" name="Picture 19" descr="C:\Users\Василий\Desktop\Нов лек ТЭС\Лекции ТЭС последние\ГЛАВА 2_files\image29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5" descr="C:\Users\Василий\Desktop\Нов лек ТЭС\Лекции ТЭС последние\ГЛАВА 2_files\image295.gif"/>
                    <pic:cNvPicPr>
                      <a:picLocks noChangeAspect="1" noChangeArrowheads="1"/>
                    </pic:cNvPicPr>
                  </pic:nvPicPr>
                  <pic:blipFill>
                    <a:blip r:link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.                       (14.7)</w:t>
      </w:r>
    </w:p>
    <w:p w:rsidR="00EF49F2" w:rsidRDefault="00EF49F2" w:rsidP="00EF49F2">
      <w:pPr>
        <w:jc w:val="center"/>
      </w:pPr>
      <w:r>
        <w:t>Следует ясно представить себе, что импульсная характеристика так же, как и порождающая ее дельта-функция, есть результат разумной идеализации. С физической точки зрения импульсная характеристика приближенно отображает реакцию системы на входной импульсный сигнал произвольной формы с единичной площадью при условии, что длительность этого сигнала пренебрежимо мала по сравнению с характерным временным масштабом системы, например, периодом ее собственных колебаний.</w:t>
      </w:r>
    </w:p>
    <w:p w:rsidR="00EF49F2" w:rsidRDefault="00EF49F2" w:rsidP="00EF49F2">
      <w:pPr>
        <w:jc w:val="center"/>
      </w:pPr>
      <w:r>
        <w:t>Зная импульсную характеристику линейной стационарной системы, можно формально решить любую задачу о прохождении детерминированного сигнала через такую систему</w:t>
      </w:r>
    </w:p>
    <w:p w:rsidR="00EF49F2" w:rsidRDefault="00EF49F2" w:rsidP="00EF49F2">
      <w:pPr>
        <w:jc w:val="center"/>
      </w:pPr>
      <w:r>
        <w:rPr>
          <w:noProof/>
          <w:vertAlign w:val="subscript"/>
        </w:rPr>
        <w:drawing>
          <wp:inline distT="0" distB="0" distL="0" distR="0" wp14:anchorId="640B2EBD" wp14:editId="1C0CEB7E">
            <wp:extent cx="1809750" cy="495300"/>
            <wp:effectExtent l="0" t="0" r="0" b="0"/>
            <wp:docPr id="20" name="Picture 20" descr="C:\Users\Василий\Desktop\Нов лек ТЭС\Лекции ТЭС последние\ГЛАВА 2_files\image29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4" descr="C:\Users\Василий\Desktop\Нов лек ТЭС\Лекции ТЭС последние\ГЛАВА 2_files\image296.gif"/>
                    <pic:cNvPicPr>
                      <a:picLocks noChangeAspect="1" noChangeArrowheads="1"/>
                    </pic:cNvPicPr>
                  </pic:nvPicPr>
                  <pic:blipFill>
                    <a:blip r:link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0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.               (14.8)</w:t>
      </w:r>
    </w:p>
    <w:p w:rsidR="00EF49F2" w:rsidRDefault="00EF49F2" w:rsidP="00EF49F2">
      <w:pPr>
        <w:jc w:val="center"/>
      </w:pPr>
      <w:r>
        <w:t xml:space="preserve">Эта формула, имеющая фундаментальное значение в теории линейных систем, называется </w:t>
      </w:r>
      <w:r>
        <w:rPr>
          <w:i/>
          <w:iCs/>
        </w:rPr>
        <w:t>интегралом Дюамеля.</w:t>
      </w:r>
    </w:p>
    <w:p w:rsidR="00EF49F2" w:rsidRDefault="00EF49F2" w:rsidP="00EF49F2">
      <w:pPr>
        <w:jc w:val="center"/>
      </w:pPr>
      <w:r>
        <w:t xml:space="preserve">Каков бы ни был конкретный вид импульсной характеристики физически осуществимой системы, всегда должен выполняться важнейший принцип: выходной сигнал, отвечающий импульсному входному воздействию, </w:t>
      </w:r>
      <w:r>
        <w:rPr>
          <w:i/>
          <w:iCs/>
        </w:rPr>
        <w:t xml:space="preserve">не может возникнуть до момента появления импульса на входе. </w:t>
      </w:r>
      <w:r>
        <w:t>Отсюда вытекает ограничение на вид допустимых импульсных характеристик</w:t>
      </w:r>
    </w:p>
    <w:p w:rsidR="00EF49F2" w:rsidRDefault="00EF49F2" w:rsidP="00EF49F2">
      <w:pPr>
        <w:jc w:val="center"/>
      </w:pPr>
      <w:proofErr w:type="gramStart"/>
      <w:r>
        <w:rPr>
          <w:i/>
          <w:iCs/>
          <w:lang w:val="en-US"/>
        </w:rPr>
        <w:t>h</w:t>
      </w:r>
      <w:proofErr w:type="gramEnd"/>
      <w:r>
        <w:t xml:space="preserve"> (</w:t>
      </w:r>
      <w:r>
        <w:rPr>
          <w:lang w:val="en-US"/>
        </w:rPr>
        <w:t>t</w:t>
      </w:r>
      <w:r>
        <w:t xml:space="preserve">)=0 при </w:t>
      </w:r>
      <w:r>
        <w:rPr>
          <w:lang w:val="en-US"/>
        </w:rPr>
        <w:t>t</w:t>
      </w:r>
      <w:r>
        <w:t>&lt;0.                             (14.9)</w:t>
      </w:r>
    </w:p>
    <w:p w:rsidR="00EF49F2" w:rsidRDefault="00EF49F2" w:rsidP="00EF49F2">
      <w:pPr>
        <w:jc w:val="center"/>
      </w:pPr>
      <w:r>
        <w:t>Для физически реализуемой системы верхний предел в формуле интеграла Дюамеля может быть заменен на текущее значение времени</w:t>
      </w:r>
    </w:p>
    <w:p w:rsidR="00EF49F2" w:rsidRDefault="00EF49F2" w:rsidP="00EF49F2">
      <w:pPr>
        <w:jc w:val="center"/>
      </w:pPr>
      <w:r>
        <w:rPr>
          <w:noProof/>
          <w:vertAlign w:val="subscript"/>
        </w:rPr>
        <w:drawing>
          <wp:inline distT="0" distB="0" distL="0" distR="0" wp14:anchorId="36B30AA7" wp14:editId="0DAC8642">
            <wp:extent cx="1962150" cy="542925"/>
            <wp:effectExtent l="0" t="0" r="0" b="9525"/>
            <wp:docPr id="21" name="Picture 21" descr="C:\Users\Василий\Desktop\Нов лек ТЭС\Лекции ТЭС последние\ГЛАВА 2_files\image29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3" descr="C:\Users\Василий\Desktop\Нов лек ТЭС\Лекции ТЭС последние\ГЛАВА 2_files\image297.gif"/>
                    <pic:cNvPicPr>
                      <a:picLocks noChangeAspect="1" noChangeArrowheads="1"/>
                    </pic:cNvPicPr>
                  </pic:nvPicPr>
                  <pic:blipFill>
                    <a:blip r:link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2150" cy="54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.                  (14.10)</w:t>
      </w:r>
    </w:p>
    <w:p w:rsidR="00E10DA9" w:rsidRDefault="00EF49F2">
      <w:bookmarkStart w:id="0" w:name="_GoBack"/>
      <w:bookmarkEnd w:id="0"/>
    </w:p>
    <w:sectPr w:rsidR="00E10D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27F5"/>
    <w:rsid w:val="000A3B22"/>
    <w:rsid w:val="004427F5"/>
    <w:rsid w:val="00916217"/>
    <w:rsid w:val="00EF49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F49F2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F49F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49F2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F49F2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F49F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49F2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280.gif" TargetMode="External"/><Relationship Id="rId13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285.gif" TargetMode="External"/><Relationship Id="rId18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290.gif" TargetMode="External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293.gif" TargetMode="External"/><Relationship Id="rId7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279.gif" TargetMode="External"/><Relationship Id="rId12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284.gif" TargetMode="External"/><Relationship Id="rId17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289.gif" TargetMode="External"/><Relationship Id="rId25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297.gif" TargetMode="External"/><Relationship Id="rId2" Type="http://schemas.microsoft.com/office/2007/relationships/stylesWithEffects" Target="stylesWithEffects.xml"/><Relationship Id="rId16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288.gif" TargetMode="External"/><Relationship Id="rId20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292.gif" TargetMode="External"/><Relationship Id="rId1" Type="http://schemas.openxmlformats.org/officeDocument/2006/relationships/styles" Target="styles.xml"/><Relationship Id="rId6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278.gif" TargetMode="External"/><Relationship Id="rId11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283.gif" TargetMode="External"/><Relationship Id="rId24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296.gif" TargetMode="External"/><Relationship Id="rId5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277.gif" TargetMode="External"/><Relationship Id="rId15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287.jpg" TargetMode="External"/><Relationship Id="rId23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295.gif" TargetMode="External"/><Relationship Id="rId10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282.gif" TargetMode="External"/><Relationship Id="rId19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291.gif" TargetMode="External"/><Relationship Id="rId4" Type="http://schemas.openxmlformats.org/officeDocument/2006/relationships/webSettings" Target="webSettings.xml"/><Relationship Id="rId9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281.gif" TargetMode="External"/><Relationship Id="rId14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286.gif" TargetMode="External"/><Relationship Id="rId22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294.gif" TargetMode="Externa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1320</Words>
  <Characters>7527</Characters>
  <Application>Microsoft Office Word</Application>
  <DocSecurity>0</DocSecurity>
  <Lines>62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2</cp:revision>
  <dcterms:created xsi:type="dcterms:W3CDTF">2020-09-24T19:29:00Z</dcterms:created>
  <dcterms:modified xsi:type="dcterms:W3CDTF">2020-09-24T19:30:00Z</dcterms:modified>
</cp:coreProperties>
</file>